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D9D9887" w14:textId="77777777" w:rsidR="002B2028" w:rsidRPr="00EF4532" w:rsidRDefault="000937E8">
      <w:pPr>
        <w:spacing w:line="240" w:lineRule="auto"/>
        <w:rPr>
          <w:rFonts w:asciiTheme="minorHAnsi" w:hAnsiTheme="minorHAnsi"/>
          <w:sz w:val="24"/>
          <w:szCs w:val="24"/>
        </w:rPr>
      </w:pPr>
      <w:r w:rsidRPr="00EF4532">
        <w:rPr>
          <w:rFonts w:asciiTheme="minorHAnsi" w:eastAsia="Helvetica Neue" w:hAnsiTheme="minorHAnsi" w:cs="Helvetica Neue"/>
          <w:color w:val="auto"/>
          <w:sz w:val="24"/>
          <w:szCs w:val="24"/>
          <w:highlight w:val="white"/>
        </w:rPr>
        <w:t>Standards Covered:</w:t>
      </w:r>
      <w:r w:rsidR="00EF4532" w:rsidRPr="00EF4532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EF4532">
        <w:rPr>
          <w:rFonts w:asciiTheme="minorHAnsi" w:eastAsia="Lato" w:hAnsiTheme="minorHAnsi" w:cs="Lato"/>
          <w:smallCaps/>
          <w:color w:val="FF0000"/>
          <w:sz w:val="24"/>
          <w:szCs w:val="24"/>
        </w:rPr>
        <w:t>(a), (b)</w:t>
      </w:r>
      <w:r w:rsidRPr="00EF4532">
        <w:rPr>
          <w:rFonts w:asciiTheme="minorHAnsi" w:eastAsia="Lato" w:hAnsiTheme="minorHAnsi" w:cs="Lato"/>
          <w:color w:val="FF0000"/>
          <w:sz w:val="24"/>
          <w:szCs w:val="24"/>
        </w:rPr>
        <w:t>, (c)</w:t>
      </w:r>
      <w:r w:rsidRPr="00EF4532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="00EF4532">
        <w:rPr>
          <w:rFonts w:asciiTheme="minorHAnsi" w:eastAsia="Lato" w:hAnsiTheme="minorHAnsi" w:cs="Lato"/>
          <w:b/>
          <w:color w:val="FF0000"/>
          <w:sz w:val="24"/>
          <w:szCs w:val="24"/>
        </w:rPr>
        <w:t xml:space="preserve"> </w:t>
      </w:r>
      <w:r w:rsidRPr="00EF4532">
        <w:rPr>
          <w:rFonts w:asciiTheme="minorHAnsi" w:eastAsia="Lato" w:hAnsiTheme="minorHAnsi" w:cs="Lato"/>
          <w:color w:val="FF0000"/>
          <w:sz w:val="24"/>
          <w:szCs w:val="24"/>
        </w:rPr>
        <w:t>(d)</w:t>
      </w:r>
      <w:r w:rsidRPr="00EF4532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="00EF4532">
        <w:rPr>
          <w:rFonts w:asciiTheme="minorHAnsi" w:eastAsia="Lato" w:hAnsiTheme="minorHAnsi" w:cs="Lato"/>
          <w:b/>
          <w:color w:val="FF0000"/>
          <w:sz w:val="24"/>
          <w:szCs w:val="24"/>
        </w:rPr>
        <w:t xml:space="preserve"> </w:t>
      </w:r>
      <w:r w:rsidRPr="00EF4532">
        <w:rPr>
          <w:rFonts w:asciiTheme="minorHAnsi" w:eastAsia="Lato" w:hAnsiTheme="minorHAnsi" w:cs="Lato"/>
          <w:smallCaps/>
          <w:color w:val="FF0000"/>
          <w:sz w:val="24"/>
          <w:szCs w:val="24"/>
        </w:rPr>
        <w:t>(e), (f)</w:t>
      </w:r>
    </w:p>
    <w:p w14:paraId="01F164DD" w14:textId="77777777" w:rsidR="002B2028" w:rsidRDefault="002B2028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24B72264" w14:textId="77777777" w:rsidR="00EF4532" w:rsidRPr="00EF4532" w:rsidRDefault="00EF4532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Sequence:</w:t>
      </w:r>
    </w:p>
    <w:p w14:paraId="20AF2156" w14:textId="77777777" w:rsidR="002B2028" w:rsidRPr="00EF4532" w:rsidRDefault="000937E8" w:rsidP="00EF4532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EF4532">
        <w:rPr>
          <w:rFonts w:asciiTheme="minorHAnsi" w:eastAsia="Cambria" w:hAnsiTheme="minorHAnsi" w:cs="Cambria"/>
          <w:sz w:val="24"/>
          <w:szCs w:val="24"/>
        </w:rPr>
        <w:t xml:space="preserve">Set up a taped box and have multiple MiniQ robots run in the area using </w:t>
      </w:r>
      <w:r w:rsidRPr="00EF4532">
        <w:rPr>
          <w:rFonts w:asciiTheme="minorHAnsi" w:hAnsiTheme="minorHAnsi"/>
          <w:color w:val="FF0000"/>
          <w:sz w:val="24"/>
          <w:szCs w:val="24"/>
        </w:rPr>
        <w:t>StayInBox.slx</w:t>
      </w:r>
      <w:r w:rsidRPr="00EF4532">
        <w:rPr>
          <w:rFonts w:asciiTheme="minorHAnsi" w:hAnsiTheme="minorHAnsi"/>
          <w:b/>
          <w:color w:val="FF0000"/>
          <w:sz w:val="24"/>
          <w:szCs w:val="24"/>
        </w:rPr>
        <w:t xml:space="preserve">. </w:t>
      </w:r>
      <w:r w:rsidRPr="00EF4532">
        <w:rPr>
          <w:rFonts w:asciiTheme="minorHAnsi" w:hAnsiTheme="minorHAnsi"/>
          <w:sz w:val="24"/>
          <w:szCs w:val="24"/>
        </w:rPr>
        <w:t xml:space="preserve">See whose robot can stay in the square the longest. </w:t>
      </w:r>
      <w:r w:rsidRPr="00EF4532">
        <w:rPr>
          <w:rFonts w:asciiTheme="minorHAnsi" w:hAnsiTheme="minorHAnsi"/>
          <w:i/>
          <w:sz w:val="24"/>
          <w:szCs w:val="24"/>
        </w:rPr>
        <w:t>(20 min)</w:t>
      </w:r>
    </w:p>
    <w:p w14:paraId="799EA3E6" w14:textId="77777777" w:rsidR="002B2028" w:rsidRPr="00EF4532" w:rsidRDefault="000937E8" w:rsidP="00EF4532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EF4532">
        <w:rPr>
          <w:rFonts w:asciiTheme="minorHAnsi" w:eastAsia="Cambria" w:hAnsiTheme="minorHAnsi" w:cs="Cambria"/>
          <w:color w:val="FF0000"/>
          <w:sz w:val="24"/>
          <w:szCs w:val="24"/>
        </w:rPr>
        <w:t>Watch the video- Dawn of the Killer Robots</w:t>
      </w:r>
      <w:r w:rsidRPr="00EF4532">
        <w:rPr>
          <w:rFonts w:asciiTheme="minorHAnsi" w:eastAsia="Cambria" w:hAnsiTheme="minorHAnsi" w:cs="Cambria"/>
          <w:sz w:val="24"/>
          <w:szCs w:val="24"/>
        </w:rPr>
        <w:t xml:space="preserve">: </w:t>
      </w:r>
      <w:r w:rsidRPr="00EF4532">
        <w:rPr>
          <w:rFonts w:asciiTheme="minorHAnsi" w:eastAsia="Cambria" w:hAnsiTheme="minorHAnsi" w:cs="Cambria"/>
          <w:i/>
          <w:sz w:val="24"/>
          <w:szCs w:val="24"/>
        </w:rPr>
        <w:t>(30 min)</w:t>
      </w:r>
      <w:r w:rsidR="00EF4532">
        <w:rPr>
          <w:rFonts w:asciiTheme="minorHAnsi" w:hAnsiTheme="minorHAnsi"/>
          <w:sz w:val="24"/>
          <w:szCs w:val="24"/>
        </w:rPr>
        <w:t xml:space="preserve"> </w:t>
      </w:r>
      <w:r w:rsidR="00EF4532">
        <w:rPr>
          <w:rFonts w:asciiTheme="minorHAnsi" w:hAnsiTheme="minorHAnsi"/>
          <w:sz w:val="24"/>
          <w:szCs w:val="24"/>
        </w:rPr>
        <w:tab/>
      </w:r>
      <w:hyperlink r:id="rId11">
        <w:r w:rsidRPr="00EF4532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>https://www.youtube.com/watch?v=5qBjFZV19p0</w:t>
        </w:r>
      </w:hyperlink>
      <w:hyperlink r:id="rId12"/>
    </w:p>
    <w:p w14:paraId="5602AF95" w14:textId="77777777" w:rsidR="00EF4532" w:rsidRDefault="000937E8" w:rsidP="00EF4532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EF4532">
        <w:rPr>
          <w:rFonts w:asciiTheme="minorHAnsi" w:eastAsia="Cambria" w:hAnsiTheme="minorHAnsi" w:cs="Cambria"/>
          <w:sz w:val="24"/>
          <w:szCs w:val="24"/>
        </w:rPr>
        <w:t xml:space="preserve">Discussion: </w:t>
      </w:r>
      <w:r w:rsidR="00EF4532" w:rsidRPr="00EF4532">
        <w:rPr>
          <w:rFonts w:asciiTheme="minorHAnsi" w:eastAsia="Cambria" w:hAnsiTheme="minorHAnsi" w:cs="Cambria"/>
          <w:i/>
          <w:sz w:val="24"/>
          <w:szCs w:val="24"/>
        </w:rPr>
        <w:t>(40 min)</w:t>
      </w:r>
    </w:p>
    <w:p w14:paraId="4016B8E0" w14:textId="3A88443A" w:rsidR="002B2028" w:rsidRPr="00EF4532" w:rsidRDefault="00696F3E" w:rsidP="00EF4532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eastAsia="Cambria" w:hAnsiTheme="minorHAnsi" w:cs="Cambria"/>
          <w:sz w:val="24"/>
          <w:szCs w:val="24"/>
        </w:rPr>
        <w:t>Define the term ethics.</w:t>
      </w:r>
    </w:p>
    <w:p w14:paraId="42BF49BC" w14:textId="77777777" w:rsidR="002B2028" w:rsidRPr="00EF4532" w:rsidRDefault="000937E8" w:rsidP="00EF4532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EF4532">
        <w:rPr>
          <w:rFonts w:asciiTheme="minorHAnsi" w:eastAsia="Cambria" w:hAnsiTheme="minorHAnsi" w:cs="Cambria"/>
          <w:sz w:val="24"/>
          <w:szCs w:val="24"/>
        </w:rPr>
        <w:t>What are the ethical considerations of building military grade robots?</w:t>
      </w:r>
    </w:p>
    <w:p w14:paraId="3F7C7B67" w14:textId="5AB6BDBA" w:rsidR="002B2028" w:rsidRPr="00A74A91" w:rsidRDefault="000937E8" w:rsidP="00AC7B5D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EF4532">
        <w:rPr>
          <w:rFonts w:asciiTheme="minorHAnsi" w:eastAsia="Cambria" w:hAnsiTheme="minorHAnsi" w:cs="Cambria"/>
          <w:sz w:val="24"/>
          <w:szCs w:val="24"/>
        </w:rPr>
        <w:t xml:space="preserve">Should there be rules in place for what can and can’t be developed in robotics? Why or why not? </w:t>
      </w:r>
    </w:p>
    <w:p w14:paraId="6A88D467" w14:textId="18DEDDE6" w:rsidR="00A74A91" w:rsidRDefault="00A74A91" w:rsidP="00A74A91">
      <w:pPr>
        <w:spacing w:line="240" w:lineRule="auto"/>
      </w:pPr>
    </w:p>
    <w:p w14:paraId="38F38125" w14:textId="5537380E" w:rsidR="00A74A91" w:rsidRDefault="00A74A91" w:rsidP="00A74A91">
      <w:pPr>
        <w:spacing w:line="240" w:lineRule="auto"/>
      </w:pPr>
    </w:p>
    <w:p w14:paraId="04D38099" w14:textId="77777777" w:rsidR="00A74A91" w:rsidRDefault="00A74A91" w:rsidP="00A74A91">
      <w:pPr>
        <w:rPr>
          <w:sz w:val="18"/>
        </w:rPr>
      </w:pPr>
      <w:r>
        <w:rPr>
          <w:noProof/>
        </w:rPr>
        <w:drawing>
          <wp:inline distT="0" distB="0" distL="0" distR="0" wp14:anchorId="24B96F76" wp14:editId="78F5B604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9142C" w14:textId="77777777" w:rsidR="00A74A91" w:rsidRPr="00BA1744" w:rsidRDefault="00A74A91" w:rsidP="00A74A91">
      <w:pPr>
        <w:rPr>
          <w:sz w:val="18"/>
        </w:rPr>
      </w:pPr>
    </w:p>
    <w:p w14:paraId="2E87A45E" w14:textId="77777777" w:rsidR="00A74A91" w:rsidRPr="00BA1744" w:rsidRDefault="00A74A91" w:rsidP="00A74A91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5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426E5F9B" w14:textId="77777777" w:rsidR="00A74A91" w:rsidRPr="00A74A91" w:rsidRDefault="00A74A91" w:rsidP="00A74A91">
      <w:pPr>
        <w:spacing w:line="240" w:lineRule="auto"/>
      </w:pPr>
      <w:bookmarkStart w:id="0" w:name="_GoBack"/>
      <w:bookmarkEnd w:id="0"/>
    </w:p>
    <w:sectPr w:rsidR="00A74A91" w:rsidRPr="00A74A91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4919B" w14:textId="77777777" w:rsidR="000937E8" w:rsidRDefault="000937E8" w:rsidP="00EF4532">
      <w:pPr>
        <w:spacing w:line="240" w:lineRule="auto"/>
      </w:pPr>
      <w:r>
        <w:separator/>
      </w:r>
    </w:p>
  </w:endnote>
  <w:endnote w:type="continuationSeparator" w:id="0">
    <w:p w14:paraId="5C22AAF8" w14:textId="77777777" w:rsidR="000937E8" w:rsidRDefault="000937E8" w:rsidP="00EF45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7B644" w14:textId="77777777" w:rsidR="000937E8" w:rsidRDefault="000937E8" w:rsidP="00EF4532">
      <w:pPr>
        <w:spacing w:line="240" w:lineRule="auto"/>
      </w:pPr>
      <w:r>
        <w:separator/>
      </w:r>
    </w:p>
  </w:footnote>
  <w:footnote w:type="continuationSeparator" w:id="0">
    <w:p w14:paraId="05A81404" w14:textId="77777777" w:rsidR="000937E8" w:rsidRDefault="000937E8" w:rsidP="00EF45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3C34A" w14:textId="77777777" w:rsidR="00EF4532" w:rsidRPr="00EF4532" w:rsidRDefault="00EF4532" w:rsidP="00EF4532">
    <w:pPr>
      <w:pStyle w:val="Header"/>
      <w:jc w:val="center"/>
      <w:rPr>
        <w:rFonts w:asciiTheme="majorHAnsi" w:hAnsiTheme="majorHAnsi"/>
        <w:b/>
        <w:sz w:val="28"/>
        <w:szCs w:val="28"/>
      </w:rPr>
    </w:pPr>
    <w:r w:rsidRPr="00EF4532">
      <w:rPr>
        <w:rFonts w:asciiTheme="majorHAnsi" w:hAnsiTheme="majorHAnsi"/>
        <w:b/>
        <w:sz w:val="28"/>
        <w:szCs w:val="28"/>
      </w:rPr>
      <w:t>Study 5: Sumo Robots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C738C"/>
    <w:multiLevelType w:val="hybridMultilevel"/>
    <w:tmpl w:val="22A21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75E93"/>
    <w:multiLevelType w:val="hybridMultilevel"/>
    <w:tmpl w:val="2F566B7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B2028"/>
    <w:rsid w:val="00052DA6"/>
    <w:rsid w:val="000937E8"/>
    <w:rsid w:val="002B2028"/>
    <w:rsid w:val="00696F3E"/>
    <w:rsid w:val="00817F36"/>
    <w:rsid w:val="00936A31"/>
    <w:rsid w:val="00A74A91"/>
    <w:rsid w:val="00AC7B5D"/>
    <w:rsid w:val="00EF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28439"/>
  <w15:docId w15:val="{54A3E088-96CD-4CFC-8482-ED85EB9A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EF45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532"/>
  </w:style>
  <w:style w:type="paragraph" w:styleId="Footer">
    <w:name w:val="footer"/>
    <w:basedOn w:val="Normal"/>
    <w:link w:val="FooterChar"/>
    <w:uiPriority w:val="99"/>
    <w:unhideWhenUsed/>
    <w:rsid w:val="00EF45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532"/>
  </w:style>
  <w:style w:type="paragraph" w:styleId="ListParagraph">
    <w:name w:val="List Paragraph"/>
    <w:basedOn w:val="Normal"/>
    <w:uiPriority w:val="34"/>
    <w:qFormat/>
    <w:rsid w:val="00EF45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4A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5qBjFZV19p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5qBjFZV19p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creativecommons.org/licenses/by-sa/4.0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1E765.3EDC8E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FV3TYEPWNNQC-3235-11161</_dlc_DocId>
    <_dlc_DocIdUrl xmlns="5c85acdc-a394-4ae0-8c72-fb4a95b3d573">
      <Url>http://sharepoint.mathworks.com/marketing/edu/els/_layouts/15/DocIdRedir.aspx?ID=FV3TYEPWNNQC-3235-11161</Url>
      <Description>FV3TYEPWNNQC-3235-11161</Description>
    </_dlc_DocIdUrl>
  </documentManagement>
</p:properties>
</file>

<file path=customXml/itemProps1.xml><?xml version="1.0" encoding="utf-8"?>
<ds:datastoreItem xmlns:ds="http://schemas.openxmlformats.org/officeDocument/2006/customXml" ds:itemID="{4BE23879-94A2-47DE-9D6F-D9C8A66D533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348AE19-1E6E-46FE-BF3F-CAB2C6207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A4E69-D596-4AA1-BE17-8FC45CADB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EBB242-C118-4C9E-870E-00B2EF182FAC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1e7aaee8-c399-46de-aa48-ced854d8e421"/>
    <ds:schemaRef ds:uri="5c85acdc-a394-4ae0-8c72-fb4a95b3d57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8</cp:revision>
  <dcterms:created xsi:type="dcterms:W3CDTF">2016-08-12T13:57:00Z</dcterms:created>
  <dcterms:modified xsi:type="dcterms:W3CDTF">2016-10-12T19:48:00Z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e1a6e41b-ce80-4064-8775-d9d2e23550b4</vt:lpwstr>
  </property>
</Properties>
</file>